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62" w:rsidRPr="008B2060" w:rsidRDefault="00C11D62" w:rsidP="00C11D62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8B2060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國立臺灣科技大學學生校外實習成績考評表</w:t>
      </w:r>
    </w:p>
    <w:p w:rsidR="00C11D62" w:rsidRPr="00194F57" w:rsidRDefault="00C11D62" w:rsidP="00C11D62">
      <w:pPr>
        <w:ind w:rightChars="-319" w:right="-76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41"/>
        <w:gridCol w:w="1645"/>
        <w:gridCol w:w="1337"/>
        <w:gridCol w:w="803"/>
        <w:gridCol w:w="854"/>
        <w:gridCol w:w="1893"/>
      </w:tblGrid>
      <w:tr w:rsidR="00C11D62" w:rsidRPr="00194F57" w:rsidTr="001A23DA">
        <w:trPr>
          <w:cantSplit/>
          <w:trHeight w:hRule="exact" w:val="795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4723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  　　系　　　　　年級</w:t>
            </w:r>
          </w:p>
        </w:tc>
        <w:tc>
          <w:tcPr>
            <w:tcW w:w="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74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79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04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公司　　　　　　　　廠（處）　　　　　　　　　　課</w:t>
            </w:r>
          </w:p>
        </w:tc>
      </w:tr>
      <w:tr w:rsidR="00C11D62" w:rsidRPr="00194F57" w:rsidTr="001A23DA">
        <w:trPr>
          <w:cantSplit/>
          <w:trHeight w:hRule="exact" w:val="700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實習評核期間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 　　年　　 月　　 日至 　　年　　 月　　 日止</w:t>
            </w:r>
          </w:p>
        </w:tc>
      </w:tr>
      <w:tr w:rsidR="00C11D62" w:rsidRPr="00194F57" w:rsidTr="00C11D62">
        <w:trPr>
          <w:cantSplit/>
          <w:trHeight w:hRule="exact" w:val="925"/>
          <w:jc w:val="center"/>
        </w:trPr>
        <w:tc>
          <w:tcPr>
            <w:tcW w:w="5087" w:type="dxa"/>
            <w:gridSpan w:val="3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工作表現成績</w:t>
            </w:r>
          </w:p>
          <w:p w:rsidR="00C11D62" w:rsidRPr="00B10D7F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（</w:t>
            </w:r>
            <w:r w:rsidRPr="00B10D7F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t>百分計分與等第計分對應標準</w:t>
            </w: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請參考附件）</w:t>
            </w:r>
          </w:p>
        </w:tc>
        <w:tc>
          <w:tcPr>
            <w:tcW w:w="4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8B2060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B20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學習報告成績</w:t>
            </w:r>
          </w:p>
          <w:p w:rsidR="00C11D62" w:rsidRPr="00194F57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百分計分與等第計分對應標準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請參考附件）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評　核　項　目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等第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　核　項　目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等第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1.敬業精神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1.報告結構內容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2.品質效率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2.報告與實務工作關聯性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3.學習熱忱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3.繳報告準時性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4.團隊合群、職業倫理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4.學習成果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5.其他：(請說明)</w:t>
            </w:r>
          </w:p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5.其他：(請說明)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實習機構評核成績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ind w:left="-58" w:firstLine="5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實習輔導教師評核成績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1728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實習機構評語與建議：</w:t>
            </w:r>
          </w:p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</w:p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</w:p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實習輔導教師評語與建議：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實習機構評核者：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實習輔導教師：</w:t>
            </w:r>
          </w:p>
        </w:tc>
      </w:tr>
      <w:tr w:rsidR="00C11D62" w:rsidRPr="00194F57" w:rsidTr="001A23DA">
        <w:trPr>
          <w:cantSplit/>
          <w:trHeight w:val="1211"/>
          <w:jc w:val="center"/>
        </w:trPr>
        <w:tc>
          <w:tcPr>
            <w:tcW w:w="5087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11D62" w:rsidRPr="00B10D7F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  <w:r w:rsidRPr="00B10D7F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校外實習委員會綜合實習機構及實習輔導教師之評核後，該生校外實習總成績</w:t>
            </w:r>
          </w:p>
        </w:tc>
        <w:tc>
          <w:tcPr>
            <w:tcW w:w="4887" w:type="dxa"/>
            <w:gridSpan w:val="4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C11D62" w:rsidRPr="00B10D7F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D9D9D9" w:themeColor="background1" w:themeShade="D9"/>
          <w:szCs w:val="24"/>
        </w:rPr>
      </w:pP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本案於</w:t>
      </w:r>
      <w:r w:rsidRPr="00B10D7F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 </w:t>
      </w: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年</w:t>
      </w:r>
      <w:r w:rsidRPr="00B10D7F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 </w:t>
      </w: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月</w:t>
      </w:r>
      <w:r w:rsidRPr="00B10D7F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 </w:t>
      </w: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日經本系、所、科本學期第</w:t>
      </w:r>
      <w:r w:rsidRPr="00B10D7F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 </w:t>
      </w: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次校外實習委員會通過</w:t>
      </w:r>
    </w:p>
    <w:p w:rsidR="009D313B" w:rsidRPr="00B10D7F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D9D9D9" w:themeColor="background1" w:themeShade="D9"/>
          <w:szCs w:val="24"/>
        </w:rPr>
      </w:pPr>
      <w:r w:rsidRPr="00B10D7F">
        <w:rPr>
          <w:rFonts w:ascii="標楷體" w:eastAsia="標楷體" w:hAnsi="標楷體" w:hint="eastAsia"/>
          <w:b/>
          <w:color w:val="D9D9D9" w:themeColor="background1" w:themeShade="D9"/>
          <w:szCs w:val="24"/>
        </w:rPr>
        <w:t>單位主管：</w:t>
      </w:r>
    </w:p>
    <w:p w:rsidR="00C11D62" w:rsidRDefault="008B2060" w:rsidP="00C11D62">
      <w:pPr>
        <w:spacing w:line="560" w:lineRule="exact"/>
        <w:ind w:left="-3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20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等第制成績、等第積分與百分制成績轉換對照表</w:t>
      </w:r>
    </w:p>
    <w:p w:rsidR="008B2060" w:rsidRDefault="008B2060" w:rsidP="008B2060">
      <w:pPr>
        <w:pStyle w:val="a8"/>
        <w:spacing w:before="10"/>
        <w:ind w:left="0"/>
        <w:rPr>
          <w:sz w:val="5"/>
        </w:rPr>
      </w:pPr>
    </w:p>
    <w:tbl>
      <w:tblPr>
        <w:tblStyle w:val="TableNormal"/>
        <w:tblW w:w="9595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1336"/>
        <w:gridCol w:w="1335"/>
        <w:gridCol w:w="1336"/>
        <w:gridCol w:w="3046"/>
      </w:tblGrid>
      <w:tr w:rsidR="008B2060" w:rsidTr="008B2060">
        <w:trPr>
          <w:trHeight w:val="1305"/>
        </w:trPr>
        <w:tc>
          <w:tcPr>
            <w:tcW w:w="2542" w:type="dxa"/>
          </w:tcPr>
          <w:p w:rsidR="008B2060" w:rsidRPr="008B2060" w:rsidRDefault="008B2060" w:rsidP="00946417">
            <w:pPr>
              <w:pStyle w:val="TableParagraph"/>
              <w:spacing w:before="0"/>
              <w:jc w:val="left"/>
              <w:rPr>
                <w:rFonts w:ascii="SimSun"/>
                <w:b/>
                <w:sz w:val="24"/>
                <w:lang w:eastAsia="zh-TW"/>
              </w:rPr>
            </w:pPr>
          </w:p>
          <w:p w:rsidR="008B2060" w:rsidRPr="008B2060" w:rsidRDefault="008B2060" w:rsidP="00946417">
            <w:pPr>
              <w:pStyle w:val="TableParagraph"/>
              <w:spacing w:before="180"/>
              <w:ind w:left="135" w:right="107"/>
              <w:rPr>
                <w:rFonts w:ascii="SimSun" w:eastAsia="SimSun"/>
                <w:b/>
                <w:sz w:val="24"/>
              </w:rPr>
            </w:pPr>
            <w:r w:rsidRPr="008B2060">
              <w:rPr>
                <w:rFonts w:ascii="SimSun" w:eastAsia="SimSun" w:hint="eastAsia"/>
                <w:b/>
                <w:sz w:val="24"/>
              </w:rPr>
              <w:t>等第制成績</w:t>
            </w:r>
          </w:p>
        </w:tc>
        <w:tc>
          <w:tcPr>
            <w:tcW w:w="1336" w:type="dxa"/>
          </w:tcPr>
          <w:p w:rsidR="008B2060" w:rsidRPr="008B2060" w:rsidRDefault="008B2060" w:rsidP="00946417">
            <w:pPr>
              <w:pStyle w:val="TableParagraph"/>
              <w:spacing w:before="20"/>
              <w:ind w:left="61" w:right="29"/>
              <w:rPr>
                <w:rFonts w:ascii="SimSun" w:eastAsia="SimSun"/>
                <w:color w:val="808080" w:themeColor="background1" w:themeShade="80"/>
                <w:sz w:val="24"/>
                <w:lang w:eastAsia="zh-TW"/>
              </w:rPr>
            </w:pP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100-104</w:t>
            </w:r>
            <w:r w:rsidRPr="008B2060">
              <w:rPr>
                <w:rFonts w:ascii="SimSun" w:eastAsia="SimSun" w:hint="eastAsia"/>
                <w:color w:val="808080" w:themeColor="background1" w:themeShade="80"/>
                <w:spacing w:val="-30"/>
                <w:sz w:val="24"/>
                <w:lang w:eastAsia="zh-TW"/>
              </w:rPr>
              <w:t xml:space="preserve"> 學</w:t>
            </w:r>
          </w:p>
          <w:p w:rsidR="008B2060" w:rsidRPr="008B2060" w:rsidRDefault="008B2060" w:rsidP="00946417">
            <w:pPr>
              <w:pStyle w:val="TableParagraph"/>
              <w:spacing w:before="4" w:line="242" w:lineRule="auto"/>
              <w:ind w:left="66" w:right="29"/>
              <w:rPr>
                <w:color w:val="808080" w:themeColor="background1" w:themeShade="80"/>
                <w:sz w:val="24"/>
                <w:lang w:eastAsia="zh-TW"/>
              </w:rPr>
            </w:pPr>
            <w:r w:rsidRPr="008B2060">
              <w:rPr>
                <w:rFonts w:ascii="SimSun" w:eastAsia="SimSun" w:hint="eastAsia"/>
                <w:color w:val="808080" w:themeColor="background1" w:themeShade="80"/>
                <w:spacing w:val="-1"/>
                <w:sz w:val="24"/>
                <w:lang w:eastAsia="zh-TW"/>
              </w:rPr>
              <w:t>年度入學學生等第積分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(GP</w:t>
            </w:r>
            <w:r w:rsidRPr="008B2060">
              <w:rPr>
                <w:color w:val="808080" w:themeColor="background1" w:themeShade="80"/>
                <w:spacing w:val="-1"/>
                <w:sz w:val="24"/>
                <w:lang w:eastAsia="zh-TW"/>
              </w:rPr>
              <w:t xml:space="preserve"> 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值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)</w:t>
            </w:r>
          </w:p>
        </w:tc>
        <w:tc>
          <w:tcPr>
            <w:tcW w:w="1335" w:type="dxa"/>
          </w:tcPr>
          <w:p w:rsidR="008B2060" w:rsidRDefault="008B2060" w:rsidP="00946417">
            <w:pPr>
              <w:pStyle w:val="TableParagraph"/>
              <w:spacing w:before="20" w:line="242" w:lineRule="auto"/>
              <w:ind w:left="57" w:right="30" w:hanging="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105 </w:t>
            </w:r>
            <w:r>
              <w:rPr>
                <w:rFonts w:ascii="SimSun" w:eastAsia="SimSun" w:hint="eastAsia"/>
                <w:sz w:val="24"/>
                <w:lang w:eastAsia="zh-TW"/>
              </w:rPr>
              <w:t>學年度</w:t>
            </w:r>
            <w:r>
              <w:rPr>
                <w:rFonts w:ascii="SimSun" w:eastAsia="SimSun" w:hint="eastAsia"/>
                <w:spacing w:val="-1"/>
                <w:sz w:val="24"/>
                <w:lang w:eastAsia="zh-TW"/>
              </w:rPr>
              <w:t>起入學學生</w:t>
            </w:r>
            <w:r>
              <w:rPr>
                <w:rFonts w:ascii="SimSun" w:eastAsia="SimSun" w:hint="eastAsia"/>
                <w:sz w:val="24"/>
                <w:lang w:eastAsia="zh-TW"/>
              </w:rPr>
              <w:t>等第積分</w:t>
            </w:r>
            <w:r>
              <w:rPr>
                <w:sz w:val="24"/>
                <w:lang w:eastAsia="zh-TW"/>
              </w:rPr>
              <w:t>(GP</w:t>
            </w:r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ascii="SimSun" w:eastAsia="SimSun" w:hint="eastAsia"/>
                <w:sz w:val="24"/>
                <w:lang w:eastAsia="zh-TW"/>
              </w:rPr>
              <w:t>值</w:t>
            </w:r>
            <w:r>
              <w:rPr>
                <w:sz w:val="24"/>
                <w:lang w:eastAsia="zh-TW"/>
              </w:rPr>
              <w:t>)</w:t>
            </w:r>
          </w:p>
        </w:tc>
        <w:tc>
          <w:tcPr>
            <w:tcW w:w="1336" w:type="dxa"/>
          </w:tcPr>
          <w:p w:rsidR="008B2060" w:rsidRPr="008B2060" w:rsidRDefault="008B2060" w:rsidP="00946417">
            <w:pPr>
              <w:pStyle w:val="TableParagraph"/>
              <w:spacing w:before="11"/>
              <w:jc w:val="left"/>
              <w:rPr>
                <w:rFonts w:ascii="SimSun"/>
                <w:b/>
                <w:sz w:val="25"/>
                <w:lang w:eastAsia="zh-TW"/>
              </w:rPr>
            </w:pPr>
          </w:p>
          <w:p w:rsidR="008B2060" w:rsidRPr="008B2060" w:rsidRDefault="008B2060" w:rsidP="00946417">
            <w:pPr>
              <w:pStyle w:val="TableParagraph"/>
              <w:spacing w:before="0" w:line="242" w:lineRule="auto"/>
              <w:ind w:left="179" w:right="157" w:firstLine="120"/>
              <w:jc w:val="left"/>
              <w:rPr>
                <w:rFonts w:ascii="SimSun" w:eastAsia="SimSun"/>
                <w:b/>
                <w:sz w:val="24"/>
              </w:rPr>
            </w:pPr>
            <w:r w:rsidRPr="008B2060">
              <w:rPr>
                <w:rFonts w:ascii="SimSun" w:eastAsia="SimSun" w:hint="eastAsia"/>
                <w:b/>
                <w:sz w:val="24"/>
              </w:rPr>
              <w:t>百分制</w:t>
            </w:r>
            <w:r w:rsidRPr="008B2060">
              <w:rPr>
                <w:rFonts w:ascii="SimSun" w:eastAsia="SimSun" w:hint="eastAsia"/>
                <w:b/>
                <w:spacing w:val="-2"/>
                <w:sz w:val="24"/>
              </w:rPr>
              <w:t>分數區間</w:t>
            </w:r>
          </w:p>
        </w:tc>
        <w:tc>
          <w:tcPr>
            <w:tcW w:w="3046" w:type="dxa"/>
          </w:tcPr>
          <w:p w:rsidR="008B2060" w:rsidRPr="008B2060" w:rsidRDefault="008B2060" w:rsidP="00946417">
            <w:pPr>
              <w:pStyle w:val="TableParagraph"/>
              <w:spacing w:before="20" w:line="242" w:lineRule="auto"/>
              <w:ind w:left="559" w:right="214" w:hanging="320"/>
              <w:jc w:val="left"/>
              <w:rPr>
                <w:rFonts w:ascii="SimSun" w:eastAsia="SimSun"/>
                <w:color w:val="808080" w:themeColor="background1" w:themeShade="80"/>
                <w:sz w:val="24"/>
                <w:lang w:eastAsia="zh-TW"/>
              </w:rPr>
            </w:pPr>
            <w:r w:rsidRPr="008B2060">
              <w:rPr>
                <w:rFonts w:ascii="SimSun" w:eastAsia="SimSun" w:hint="eastAsia"/>
                <w:color w:val="808080" w:themeColor="background1" w:themeShade="80"/>
                <w:spacing w:val="-1"/>
                <w:sz w:val="24"/>
                <w:lang w:eastAsia="zh-TW"/>
              </w:rPr>
              <w:t>百分制分數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(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區間中位數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)</w:t>
            </w:r>
            <w:r w:rsidRPr="008B2060">
              <w:rPr>
                <w:color w:val="808080" w:themeColor="background1" w:themeShade="80"/>
                <w:spacing w:val="-57"/>
                <w:sz w:val="24"/>
                <w:lang w:eastAsia="zh-TW"/>
              </w:rPr>
              <w:t xml:space="preserve"> 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實施等第制給分後</w:t>
            </w:r>
          </w:p>
          <w:p w:rsidR="008B2060" w:rsidRPr="008B2060" w:rsidRDefault="008B2060" w:rsidP="00946417">
            <w:pPr>
              <w:pStyle w:val="TableParagraph"/>
              <w:spacing w:before="2" w:line="242" w:lineRule="auto"/>
              <w:ind w:left="559" w:right="185" w:hanging="351"/>
              <w:jc w:val="left"/>
              <w:rPr>
                <w:rFonts w:ascii="SimSun" w:eastAsia="SimSun"/>
                <w:color w:val="808080" w:themeColor="background1" w:themeShade="80"/>
                <w:sz w:val="24"/>
                <w:lang w:eastAsia="zh-TW"/>
              </w:rPr>
            </w:pPr>
            <w:r w:rsidRPr="008B2060">
              <w:rPr>
                <w:color w:val="808080" w:themeColor="background1" w:themeShade="80"/>
                <w:sz w:val="24"/>
                <w:lang w:eastAsia="zh-TW"/>
              </w:rPr>
              <w:t>99</w:t>
            </w:r>
            <w:r w:rsidRPr="008B2060">
              <w:rPr>
                <w:color w:val="808080" w:themeColor="background1" w:themeShade="80"/>
                <w:spacing w:val="-13"/>
                <w:sz w:val="24"/>
                <w:lang w:eastAsia="zh-TW"/>
              </w:rPr>
              <w:t xml:space="preserve"> 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學年度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(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含</w:t>
            </w:r>
            <w:r w:rsidRPr="008B2060">
              <w:rPr>
                <w:color w:val="808080" w:themeColor="background1" w:themeShade="80"/>
                <w:sz w:val="24"/>
                <w:lang w:eastAsia="zh-TW"/>
              </w:rPr>
              <w:t>)</w:t>
            </w:r>
            <w:r w:rsidRPr="008B2060">
              <w:rPr>
                <w:rFonts w:ascii="SimSun" w:eastAsia="SimSun" w:hint="eastAsia"/>
                <w:color w:val="808080" w:themeColor="background1" w:themeShade="80"/>
                <w:sz w:val="24"/>
                <w:lang w:eastAsia="zh-TW"/>
              </w:rPr>
              <w:t>之前入學之在校生成績轉換用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1" w:right="107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A+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4.0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29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90-100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95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9"/>
              <w:rPr>
                <w:b/>
                <w:sz w:val="24"/>
              </w:rPr>
            </w:pPr>
            <w:r w:rsidRPr="008B2060">
              <w:rPr>
                <w:b/>
                <w:w w:val="99"/>
                <w:sz w:val="24"/>
              </w:rPr>
              <w:t>A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4.0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85-89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87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4" w:right="107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A-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3.7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80-84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82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0" w:right="107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B+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3.3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77-79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78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5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B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3.0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73-76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75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4" w:right="107"/>
              <w:rPr>
                <w:b/>
                <w:sz w:val="24"/>
                <w:lang w:eastAsia="zh-TW"/>
              </w:rPr>
            </w:pPr>
            <w:r w:rsidRPr="008B2060">
              <w:rPr>
                <w:b/>
                <w:sz w:val="24"/>
                <w:lang w:eastAsia="zh-TW"/>
              </w:rPr>
              <w:t>B-</w:t>
            </w:r>
          </w:p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5" w:right="107"/>
              <w:rPr>
                <w:rFonts w:ascii="SimSun" w:eastAsia="SimSun"/>
                <w:b/>
                <w:sz w:val="24"/>
                <w:lang w:eastAsia="zh-TW"/>
              </w:rPr>
            </w:pPr>
            <w:r w:rsidRPr="008B2060">
              <w:rPr>
                <w:rFonts w:ascii="SimSun" w:eastAsia="SimSun" w:hint="eastAsia"/>
                <w:b/>
                <w:sz w:val="24"/>
                <w:lang w:eastAsia="zh-TW"/>
              </w:rPr>
              <w:t>（研究生及格標準）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2.7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70-72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71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5" w:right="107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C+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2.3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67-69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68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5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C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2.0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63-66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65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5" w:right="106"/>
              <w:rPr>
                <w:b/>
                <w:sz w:val="24"/>
                <w:lang w:eastAsia="zh-TW"/>
              </w:rPr>
            </w:pPr>
            <w:r w:rsidRPr="008B2060">
              <w:rPr>
                <w:b/>
                <w:sz w:val="24"/>
                <w:lang w:eastAsia="zh-TW"/>
              </w:rPr>
              <w:t>C-</w:t>
            </w:r>
          </w:p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5" w:right="107"/>
              <w:rPr>
                <w:rFonts w:ascii="SimSun" w:eastAsia="SimSun"/>
                <w:b/>
                <w:sz w:val="24"/>
                <w:lang w:eastAsia="zh-TW"/>
              </w:rPr>
            </w:pPr>
            <w:r w:rsidRPr="008B2060">
              <w:rPr>
                <w:rFonts w:ascii="SimSun" w:eastAsia="SimSun" w:hint="eastAsia"/>
                <w:b/>
                <w:sz w:val="24"/>
                <w:lang w:eastAsia="zh-TW"/>
              </w:rPr>
              <w:t>（大學部及格標準）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1.7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60-62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61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9"/>
              <w:rPr>
                <w:b/>
                <w:sz w:val="24"/>
              </w:rPr>
            </w:pPr>
            <w:r w:rsidRPr="008B2060">
              <w:rPr>
                <w:b/>
                <w:w w:val="99"/>
                <w:sz w:val="24"/>
              </w:rPr>
              <w:t>D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1.0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358"/>
              <w:jc w:val="righ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50-59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55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6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E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0.0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438"/>
              <w:jc w:val="left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1-49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39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49</w:t>
            </w:r>
          </w:p>
        </w:tc>
      </w:tr>
      <w:tr w:rsidR="008B2060" w:rsidTr="008B2060">
        <w:trPr>
          <w:trHeight w:val="587"/>
        </w:trPr>
        <w:tc>
          <w:tcPr>
            <w:tcW w:w="2542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9"/>
              <w:rPr>
                <w:b/>
                <w:sz w:val="24"/>
              </w:rPr>
            </w:pPr>
            <w:r w:rsidRPr="008B2060">
              <w:rPr>
                <w:b/>
                <w:w w:val="99"/>
                <w:sz w:val="24"/>
              </w:rPr>
              <w:t>X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right="481"/>
              <w:jc w:val="righ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0.0</w:t>
            </w:r>
          </w:p>
        </w:tc>
        <w:tc>
          <w:tcPr>
            <w:tcW w:w="1335" w:type="dxa"/>
            <w:vAlign w:val="center"/>
          </w:tcPr>
          <w:p w:rsidR="008B2060" w:rsidRDefault="008B2060" w:rsidP="008B2060">
            <w:pPr>
              <w:pStyle w:val="TableParagraph"/>
              <w:snapToGrid w:val="0"/>
              <w:spacing w:before="0" w:line="240" w:lineRule="atLeast"/>
              <w:ind w:left="486" w:right="464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33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20"/>
              <w:rPr>
                <w:b/>
                <w:sz w:val="24"/>
              </w:rPr>
            </w:pPr>
            <w:r w:rsidRPr="008B2060">
              <w:rPr>
                <w:b/>
                <w:sz w:val="24"/>
              </w:rPr>
              <w:t>0</w:t>
            </w:r>
          </w:p>
        </w:tc>
        <w:tc>
          <w:tcPr>
            <w:tcW w:w="3046" w:type="dxa"/>
            <w:vAlign w:val="center"/>
          </w:tcPr>
          <w:p w:rsidR="008B2060" w:rsidRPr="008B2060" w:rsidRDefault="008B2060" w:rsidP="008B2060">
            <w:pPr>
              <w:pStyle w:val="TableParagraph"/>
              <w:snapToGrid w:val="0"/>
              <w:spacing w:before="0" w:line="240" w:lineRule="atLeast"/>
              <w:ind w:left="1459"/>
              <w:jc w:val="left"/>
              <w:rPr>
                <w:color w:val="808080" w:themeColor="background1" w:themeShade="80"/>
                <w:sz w:val="24"/>
              </w:rPr>
            </w:pPr>
            <w:r w:rsidRPr="008B2060">
              <w:rPr>
                <w:color w:val="808080" w:themeColor="background1" w:themeShade="80"/>
                <w:sz w:val="24"/>
              </w:rPr>
              <w:t>0</w:t>
            </w:r>
          </w:p>
        </w:tc>
      </w:tr>
    </w:tbl>
    <w:p w:rsidR="008B2060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bookmarkStart w:id="0" w:name="_GoBack"/>
      <w:r w:rsidRPr="003A3C1B">
        <w:rPr>
          <w:rFonts w:ascii="標楷體" w:eastAsia="標楷體" w:hAnsi="標楷體"/>
          <w:color w:val="000000" w:themeColor="text1"/>
          <w:szCs w:val="32"/>
        </w:rPr>
        <w:t>A+：達成學習目標，且表現優異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A：達成學習目標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A-：雖達成學習目標，但需再精進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 xml:space="preserve">B+：達成部分目標，且品質佳 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B：達成部分目標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B-：雖達成部分目標，但需要精進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C+：達成最低目標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C：雖達成最低目標，但需精進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C -：達成最低目標，但有重大缺失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D：雖未達最低目標，但可再研修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E：未達最低目標，不核予成績</w:t>
      </w:r>
    </w:p>
    <w:p w:rsidR="008B2060" w:rsidRPr="003A3C1B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  <w:r w:rsidRPr="003A3C1B">
        <w:rPr>
          <w:rFonts w:ascii="標楷體" w:eastAsia="標楷體" w:hAnsi="標楷體"/>
          <w:color w:val="000000" w:themeColor="text1"/>
          <w:szCs w:val="32"/>
        </w:rPr>
        <w:t>X：因故不予評分</w:t>
      </w:r>
    </w:p>
    <w:bookmarkEnd w:id="0"/>
    <w:p w:rsidR="008B2060" w:rsidRPr="008B2060" w:rsidRDefault="008B2060" w:rsidP="008B2060">
      <w:pPr>
        <w:snapToGrid w:val="0"/>
        <w:spacing w:line="240" w:lineRule="atLeast"/>
        <w:ind w:left="-357"/>
        <w:rPr>
          <w:rFonts w:ascii="標楷體" w:eastAsia="標楷體" w:hAnsi="標楷體"/>
          <w:color w:val="000000" w:themeColor="text1"/>
          <w:szCs w:val="32"/>
        </w:rPr>
      </w:pPr>
    </w:p>
    <w:sectPr w:rsidR="008B2060" w:rsidRPr="008B2060" w:rsidSect="00C11D62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EF" w:rsidRDefault="001E0CEF" w:rsidP="00B106AD">
      <w:r>
        <w:separator/>
      </w:r>
    </w:p>
  </w:endnote>
  <w:endnote w:type="continuationSeparator" w:id="0">
    <w:p w:rsidR="001E0CEF" w:rsidRDefault="001E0CEF" w:rsidP="00B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EF" w:rsidRDefault="001E0CEF" w:rsidP="00B106AD">
      <w:r>
        <w:separator/>
      </w:r>
    </w:p>
  </w:footnote>
  <w:footnote w:type="continuationSeparator" w:id="0">
    <w:p w:rsidR="001E0CEF" w:rsidRDefault="001E0CEF" w:rsidP="00B1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2"/>
    <w:rsid w:val="0009548B"/>
    <w:rsid w:val="001E0CEF"/>
    <w:rsid w:val="002659AA"/>
    <w:rsid w:val="003A3C1B"/>
    <w:rsid w:val="003C6966"/>
    <w:rsid w:val="008B2060"/>
    <w:rsid w:val="009C7607"/>
    <w:rsid w:val="009D313B"/>
    <w:rsid w:val="00B106AD"/>
    <w:rsid w:val="00B10D7F"/>
    <w:rsid w:val="00C11D62"/>
    <w:rsid w:val="00C22B2A"/>
    <w:rsid w:val="00C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A9DA5-A508-4058-86B9-A9A38AF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B206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B2060"/>
    <w:pPr>
      <w:autoSpaceDE w:val="0"/>
      <w:autoSpaceDN w:val="0"/>
      <w:spacing w:before="1"/>
      <w:ind w:left="138"/>
    </w:pPr>
    <w:rPr>
      <w:rFonts w:ascii="SimSun" w:eastAsia="SimSun" w:hAnsi="SimSun" w:cs="SimSun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8B2060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B2060"/>
    <w:pPr>
      <w:autoSpaceDE w:val="0"/>
      <w:autoSpaceDN w:val="0"/>
      <w:spacing w:before="109"/>
      <w:jc w:val="center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USERCCE</cp:lastModifiedBy>
  <cp:revision>2</cp:revision>
  <dcterms:created xsi:type="dcterms:W3CDTF">2022-07-20T09:20:00Z</dcterms:created>
  <dcterms:modified xsi:type="dcterms:W3CDTF">2022-07-20T09:21:00Z</dcterms:modified>
</cp:coreProperties>
</file>